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2080" w:firstLineChars="650"/>
        <w:jc w:val="left"/>
        <w:rPr>
          <w:rFonts w:cs="仿宋_GB2312" w:asciiTheme="minorEastAsia" w:hAnsiTheme="minorEastAsia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</w:rPr>
        <w:t>杭钢国贸</w:t>
      </w:r>
      <w:r>
        <w:rPr>
          <w:rFonts w:cs="TimesNewRomanPSMT" w:asciiTheme="minorEastAsia" w:hAnsiTheme="minorEastAsia"/>
          <w:kern w:val="0"/>
          <w:sz w:val="32"/>
          <w:szCs w:val="32"/>
        </w:rPr>
        <w:t>202</w:t>
      </w:r>
      <w:r>
        <w:rPr>
          <w:rFonts w:hint="eastAsia" w:cs="TimesNewRomanPSMT" w:asciiTheme="minorEastAsia" w:hAnsiTheme="minorEastAsia"/>
          <w:kern w:val="0"/>
          <w:sz w:val="32"/>
          <w:szCs w:val="32"/>
        </w:rPr>
        <w:t>2</w:t>
      </w:r>
      <w:r>
        <w:rPr>
          <w:rFonts w:cs="TimesNewRomanPSMT" w:asciiTheme="minorEastAsia" w:hAnsiTheme="minorEastAsia"/>
          <w:kern w:val="0"/>
          <w:sz w:val="32"/>
          <w:szCs w:val="32"/>
        </w:rPr>
        <w:t xml:space="preserve"> 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>年度</w:t>
      </w:r>
      <w:r>
        <w:rPr>
          <w:rFonts w:hint="eastAsia" w:cs="仿宋_GB2312" w:asciiTheme="minorEastAsia" w:hAnsiTheme="minorEastAsia"/>
          <w:kern w:val="0"/>
          <w:sz w:val="32"/>
          <w:szCs w:val="32"/>
          <w:lang w:eastAsia="zh-CN"/>
        </w:rPr>
        <w:t>中期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>信息公开</w:t>
      </w:r>
    </w:p>
    <w:p>
      <w:pPr>
        <w:autoSpaceDE w:val="0"/>
        <w:autoSpaceDN w:val="0"/>
        <w:adjustRightInd w:val="0"/>
        <w:jc w:val="left"/>
        <w:rPr>
          <w:rFonts w:cs="仿宋_GB2312" w:asciiTheme="minorEastAsia" w:hAnsiTheme="minorEastAsia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</w:rPr>
        <w:t>一、企业基本情况</w:t>
      </w:r>
    </w:p>
    <w:p>
      <w:pPr>
        <w:autoSpaceDE w:val="0"/>
        <w:autoSpaceDN w:val="0"/>
        <w:adjustRightInd w:val="0"/>
        <w:ind w:firstLine="480" w:firstLineChars="150"/>
        <w:jc w:val="left"/>
        <w:rPr>
          <w:rFonts w:hint="eastAsia" w:asciiTheme="minorEastAsia" w:hAnsiTheme="minorEastAsia" w:eastAsia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/>
          <w:color w:val="auto"/>
          <w:sz w:val="32"/>
          <w:szCs w:val="32"/>
        </w:rPr>
        <w:t>浙江杭钢国贸有限公司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</w:rPr>
        <w:t>（以下简称</w:t>
      </w:r>
      <w:r>
        <w:rPr>
          <w:rFonts w:hint="eastAsia" w:cs="TimesNewRomanPSMT" w:asciiTheme="minorEastAsia" w:hAnsiTheme="minorEastAsia"/>
          <w:color w:val="auto"/>
          <w:kern w:val="0"/>
          <w:sz w:val="32"/>
          <w:szCs w:val="32"/>
        </w:rPr>
        <w:t>“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</w:rPr>
        <w:t>杭钢国贸</w:t>
      </w:r>
      <w:r>
        <w:rPr>
          <w:rFonts w:hint="eastAsia" w:cs="TimesNewRomanPSMT" w:asciiTheme="minorEastAsia" w:hAnsiTheme="minorEastAsia"/>
          <w:color w:val="auto"/>
          <w:kern w:val="0"/>
          <w:sz w:val="32"/>
          <w:szCs w:val="32"/>
        </w:rPr>
        <w:t>”</w:t>
      </w:r>
      <w:r>
        <w:rPr>
          <w:rFonts w:hint="eastAsia" w:asciiTheme="minorEastAsia" w:hAnsiTheme="minorEastAsia"/>
          <w:color w:val="auto"/>
          <w:sz w:val="32"/>
          <w:szCs w:val="32"/>
        </w:rPr>
        <w:t>）系杭州钢铁集团有限公司全资子公司，注册成立于2000年，注册资本4亿元。公司主要经营钢材、不锈钢产品、冶金炉料等，并在国内建立和拓展了丰富的资源渠道。近年来，公司以实施“服务+平台+创新+共享”发展战略为中心，通过致力于构建现货经营平台、强化区域布局、精心服务于上下游、努力创建共赢格局，取得了较好的经济效益。年钢材等产品销售量突破2000万吨，销售收入达700亿元。</w:t>
      </w:r>
    </w:p>
    <w:p>
      <w:pPr>
        <w:autoSpaceDE w:val="0"/>
        <w:autoSpaceDN w:val="0"/>
        <w:adjustRightInd w:val="0"/>
        <w:ind w:firstLine="480" w:firstLineChars="150"/>
        <w:jc w:val="left"/>
        <w:rPr>
          <w:rFonts w:cs="仿宋_GB2312" w:asciiTheme="minorEastAsia" w:hAnsiTheme="minorEastAsia"/>
          <w:color w:val="auto"/>
          <w:kern w:val="0"/>
          <w:sz w:val="32"/>
          <w:szCs w:val="32"/>
        </w:rPr>
      </w:pPr>
      <w:r>
        <w:rPr>
          <w:rFonts w:hint="eastAsia" w:asciiTheme="minorEastAsia" w:hAnsiTheme="minorEastAsia"/>
          <w:color w:val="auto"/>
          <w:sz w:val="32"/>
          <w:szCs w:val="32"/>
        </w:rPr>
        <w:t>　　公司坚持“诚实守信、服务至上”的理念，以一流的职业道德，一流的服务品质，打造一流的企业形象，得到了广大用户的肯定和支持。公司真诚期待以优质的综合实力，与社会各界朋友一起携手发展！</w:t>
      </w:r>
    </w:p>
    <w:p>
      <w:pPr>
        <w:rPr>
          <w:rFonts w:cs="宋体" w:asciiTheme="minorEastAsia" w:hAnsiTheme="minorEastAsia"/>
          <w:color w:val="auto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</w:rPr>
        <w:t>公司</w:t>
      </w:r>
      <w:r>
        <w:rPr>
          <w:rFonts w:hint="eastAsia" w:cs="宋体" w:asciiTheme="minorEastAsia" w:hAnsiTheme="minorEastAsia"/>
          <w:color w:val="auto"/>
          <w:kern w:val="0"/>
          <w:sz w:val="32"/>
          <w:szCs w:val="32"/>
        </w:rPr>
        <w:t>地址：杭州下城区新北街100号新天地商务中心金座7楼</w:t>
      </w:r>
    </w:p>
    <w:p>
      <w:pPr>
        <w:widowControl/>
        <w:rPr>
          <w:rFonts w:cs="宋体" w:asciiTheme="minorEastAsia" w:hAnsiTheme="minorEastAsia"/>
          <w:color w:val="auto"/>
          <w:kern w:val="0"/>
          <w:sz w:val="32"/>
          <w:szCs w:val="32"/>
        </w:rPr>
      </w:pPr>
      <w:r>
        <w:rPr>
          <w:rFonts w:hint="eastAsia" w:cs="宋体" w:asciiTheme="minorEastAsia" w:hAnsiTheme="minorEastAsia"/>
          <w:color w:val="auto"/>
          <w:kern w:val="0"/>
          <w:sz w:val="32"/>
          <w:szCs w:val="32"/>
        </w:rPr>
        <w:t>电话：86-571-85341341</w:t>
      </w:r>
    </w:p>
    <w:p>
      <w:pPr>
        <w:widowControl/>
        <w:rPr>
          <w:rFonts w:cs="宋体" w:asciiTheme="minorEastAsia" w:hAnsiTheme="minorEastAsia"/>
          <w:color w:val="auto"/>
          <w:kern w:val="0"/>
          <w:sz w:val="32"/>
          <w:szCs w:val="32"/>
        </w:rPr>
      </w:pPr>
      <w:r>
        <w:rPr>
          <w:rFonts w:hint="eastAsia" w:cs="宋体" w:asciiTheme="minorEastAsia" w:hAnsiTheme="minorEastAsia"/>
          <w:color w:val="auto"/>
          <w:kern w:val="0"/>
          <w:sz w:val="32"/>
          <w:szCs w:val="32"/>
        </w:rPr>
        <w:t>传真：86-571-85341341</w:t>
      </w:r>
    </w:p>
    <w:p>
      <w:pPr>
        <w:widowControl/>
        <w:rPr>
          <w:rFonts w:cs="宋体" w:asciiTheme="minorEastAsia" w:hAnsiTheme="minorEastAsia"/>
          <w:color w:val="auto"/>
          <w:kern w:val="0"/>
          <w:sz w:val="32"/>
          <w:szCs w:val="32"/>
        </w:rPr>
      </w:pPr>
      <w:r>
        <w:rPr>
          <w:rFonts w:hint="eastAsia" w:cs="宋体" w:asciiTheme="minorEastAsia" w:hAnsiTheme="minorEastAsia"/>
          <w:color w:val="auto"/>
          <w:kern w:val="0"/>
          <w:sz w:val="32"/>
          <w:szCs w:val="32"/>
        </w:rPr>
        <w:t>企业邮箱：zjhggm@zjhggm.cn</w:t>
      </w:r>
    </w:p>
    <w:p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hint="eastAsia" w:cs="仿宋_GB2312" w:asciiTheme="minorEastAsia" w:hAnsiTheme="minorEastAsia"/>
          <w:color w:val="auto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</w:rPr>
        <w:t>主要指标完成情况</w:t>
      </w:r>
    </w:p>
    <w:p>
      <w:pPr>
        <w:autoSpaceDE w:val="0"/>
        <w:autoSpaceDN w:val="0"/>
        <w:adjustRightInd w:val="0"/>
        <w:ind w:firstLine="480" w:firstLineChars="150"/>
        <w:jc w:val="left"/>
        <w:rPr>
          <w:rFonts w:cs="仿宋_GB2312" w:asciiTheme="minorEastAsia" w:hAnsiTheme="minorEastAsia"/>
          <w:color w:val="auto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</w:rPr>
        <w:t>2022年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  <w:lang w:val="en-US" w:eastAsia="zh-CN"/>
        </w:rPr>
        <w:t>6月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</w:rPr>
        <w:t>末</w:t>
      </w:r>
      <w:r>
        <w:rPr>
          <w:rFonts w:hint="eastAsia" w:cs="宋体" w:asciiTheme="minorEastAsia" w:hAnsiTheme="minorEastAsia"/>
          <w:color w:val="auto"/>
          <w:kern w:val="0"/>
          <w:sz w:val="32"/>
          <w:szCs w:val="32"/>
        </w:rPr>
        <w:t>，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</w:rPr>
        <w:t>杭钢国贸资产总额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  <w:lang w:val="en-US" w:eastAsia="zh-CN"/>
        </w:rPr>
        <w:t>120.78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</w:rPr>
        <w:t>亿元，负债总额112.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  <w:lang w:val="en-US" w:eastAsia="zh-CN"/>
        </w:rPr>
        <w:t>05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</w:rPr>
        <w:t>亿元，所有者权益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  <w:lang w:val="en-US" w:eastAsia="zh-CN"/>
        </w:rPr>
        <w:t>8.73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</w:rPr>
        <w:t>亿元。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cs="仿宋_GB2312" w:asciiTheme="minorEastAsia" w:hAnsiTheme="minorEastAsia" w:eastAsiaTheme="minorEastAsia"/>
          <w:color w:val="auto"/>
          <w:kern w:val="0"/>
          <w:sz w:val="32"/>
          <w:szCs w:val="32"/>
          <w:lang w:eastAsia="zh-CN"/>
        </w:rPr>
      </w:pPr>
      <w:r>
        <w:rPr>
          <w:rFonts w:cs="TimesNewRomanPSMT" w:asciiTheme="minorEastAsia" w:hAnsiTheme="minorEastAsia"/>
          <w:color w:val="auto"/>
          <w:kern w:val="0"/>
          <w:sz w:val="32"/>
          <w:szCs w:val="32"/>
        </w:rPr>
        <w:t>202</w:t>
      </w:r>
      <w:r>
        <w:rPr>
          <w:rFonts w:hint="eastAsia" w:cs="TimesNewRomanPSMT" w:asciiTheme="minorEastAsia" w:hAnsiTheme="minorEastAsia"/>
          <w:color w:val="auto"/>
          <w:kern w:val="0"/>
          <w:sz w:val="32"/>
          <w:szCs w:val="32"/>
        </w:rPr>
        <w:t>2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</w:rPr>
        <w:t>年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  <w:lang w:val="en-US" w:eastAsia="zh-CN"/>
        </w:rPr>
        <w:t>1-6月份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</w:rPr>
        <w:t>，杭钢国贸累计实现营业收入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  <w:lang w:val="en-US" w:eastAsia="zh-CN"/>
        </w:rPr>
        <w:t>343.62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</w:rPr>
        <w:t>亿元，营业成本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  <w:lang w:val="en-US" w:eastAsia="zh-CN"/>
        </w:rPr>
        <w:t>341.57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</w:rPr>
        <w:t>亿元，销售费用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  <w:lang w:val="en-US" w:eastAsia="zh-CN"/>
        </w:rPr>
        <w:t>0.08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</w:rPr>
        <w:t>亿元，管理费用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  <w:lang w:val="en-US" w:eastAsia="zh-CN"/>
        </w:rPr>
        <w:t>0.40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</w:rPr>
        <w:t>亿元，财务费用0.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  <w:lang w:val="en-US" w:eastAsia="zh-CN"/>
        </w:rPr>
        <w:t>65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</w:rPr>
        <w:t>亿元，投资收益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  <w:lang w:val="en-US" w:eastAsia="zh-CN"/>
        </w:rPr>
        <w:t>-0.07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</w:rPr>
        <w:t>亿元，营业利润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  <w:lang w:val="en-US" w:eastAsia="zh-CN"/>
        </w:rPr>
        <w:t>1.04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</w:rPr>
        <w:t>亿元，利润总额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  <w:lang w:val="en-US" w:eastAsia="zh-CN"/>
        </w:rPr>
        <w:t>1.03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</w:rPr>
        <w:t>亿元，净利润0.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  <w:lang w:val="en-US" w:eastAsia="zh-CN"/>
        </w:rPr>
        <w:t>74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</w:rPr>
        <w:t>亿元，营业利润率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  <w:highlight w:val="none"/>
        </w:rPr>
        <w:t>0.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  <w:highlight w:val="none"/>
          <w:lang w:val="en-US" w:eastAsia="zh-CN"/>
        </w:rPr>
        <w:t>30</w:t>
      </w:r>
      <w:r>
        <w:rPr>
          <w:rFonts w:cs="TimesNewRomanPSMT" w:asciiTheme="minorEastAsia" w:hAnsiTheme="minorEastAsia"/>
          <w:color w:val="auto"/>
          <w:kern w:val="0"/>
          <w:sz w:val="32"/>
          <w:szCs w:val="32"/>
          <w:highlight w:val="none"/>
        </w:rPr>
        <w:t>%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</w:rPr>
        <w:t>，净资产收益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  <w:highlight w:val="none"/>
        </w:rPr>
        <w:t>率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  <w:highlight w:val="none"/>
          <w:lang w:val="en-US" w:eastAsia="zh-CN"/>
        </w:rPr>
        <w:t>8.48</w:t>
      </w:r>
      <w:r>
        <w:rPr>
          <w:rFonts w:cs="TimesNewRomanPSMT" w:asciiTheme="minorEastAsia" w:hAnsiTheme="minorEastAsia"/>
          <w:color w:val="auto"/>
          <w:kern w:val="0"/>
          <w:sz w:val="32"/>
          <w:szCs w:val="32"/>
          <w:highlight w:val="none"/>
        </w:rPr>
        <w:t>%</w:t>
      </w:r>
      <w:r>
        <w:rPr>
          <w:rFonts w:hint="eastAsia" w:cs="TimesNewRomanPSMT" w:asciiTheme="minorEastAsia" w:hAnsiTheme="minorEastAsia"/>
          <w:color w:val="auto"/>
          <w:kern w:val="0"/>
          <w:sz w:val="32"/>
          <w:szCs w:val="32"/>
          <w:lang w:eastAsia="zh-CN"/>
        </w:rPr>
        <w:t>。</w:t>
      </w:r>
    </w:p>
    <w:p>
      <w:pPr>
        <w:autoSpaceDE w:val="0"/>
        <w:autoSpaceDN w:val="0"/>
        <w:adjustRightInd w:val="0"/>
        <w:jc w:val="left"/>
        <w:rPr>
          <w:rFonts w:cs="仿宋_GB2312" w:asciiTheme="minorEastAsia" w:hAnsiTheme="minorEastAsia"/>
          <w:color w:val="auto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</w:rPr>
        <w:t>三、预算执行进度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cs="仿宋_GB2312" w:asciiTheme="minorEastAsia" w:hAnsiTheme="minorEastAsia"/>
          <w:color w:val="auto"/>
          <w:kern w:val="0"/>
          <w:sz w:val="32"/>
          <w:szCs w:val="32"/>
        </w:rPr>
      </w:pPr>
      <w:r>
        <w:rPr>
          <w:rFonts w:cs="TimesNewRomanPSMT" w:asciiTheme="minorEastAsia" w:hAnsiTheme="minorEastAsia"/>
          <w:color w:val="auto"/>
          <w:kern w:val="0"/>
          <w:sz w:val="32"/>
          <w:szCs w:val="32"/>
        </w:rPr>
        <w:t>202</w:t>
      </w:r>
      <w:r>
        <w:rPr>
          <w:rFonts w:hint="eastAsia" w:cs="TimesNewRomanPSMT" w:asciiTheme="minorEastAsia" w:hAnsiTheme="minorEastAsia"/>
          <w:color w:val="auto"/>
          <w:kern w:val="0"/>
          <w:sz w:val="32"/>
          <w:szCs w:val="32"/>
        </w:rPr>
        <w:t>2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</w:rPr>
        <w:t>年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  <w:lang w:val="en-US" w:eastAsia="zh-CN"/>
        </w:rPr>
        <w:t>1-6月份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</w:rPr>
        <w:t>杭钢国贸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  <w:lang w:eastAsia="zh-CN"/>
        </w:rPr>
        <w:t>累计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</w:rPr>
        <w:t>实现营业收入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  <w:lang w:val="en-US" w:eastAsia="zh-CN"/>
        </w:rPr>
        <w:t>343.62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</w:rPr>
        <w:t>亿元，完成预算指标600亿元的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  <w:lang w:val="en-US" w:eastAsia="zh-CN"/>
        </w:rPr>
        <w:t>57.27</w:t>
      </w:r>
      <w:r>
        <w:rPr>
          <w:rFonts w:cs="TimesNewRomanPSMT" w:asciiTheme="minorEastAsia" w:hAnsiTheme="minorEastAsia"/>
          <w:color w:val="auto"/>
          <w:kern w:val="0"/>
          <w:sz w:val="32"/>
          <w:szCs w:val="32"/>
        </w:rPr>
        <w:t>%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</w:rPr>
        <w:t>；实现利润总额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  <w:lang w:val="en-US" w:eastAsia="zh-CN"/>
        </w:rPr>
        <w:t>1.03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</w:rPr>
        <w:t>亿元，完成预算指标2.6亿元的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  <w:lang w:val="en-US" w:eastAsia="zh-CN"/>
        </w:rPr>
        <w:t>39.62</w:t>
      </w:r>
      <w:r>
        <w:rPr>
          <w:rFonts w:cs="TimesNewRomanPSMT" w:asciiTheme="minorEastAsia" w:hAnsiTheme="minorEastAsia"/>
          <w:color w:val="auto"/>
          <w:kern w:val="0"/>
          <w:sz w:val="32"/>
          <w:szCs w:val="32"/>
        </w:rPr>
        <w:t>%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</w:rPr>
        <w:t>。</w:t>
      </w:r>
    </w:p>
    <w:p>
      <w:pPr>
        <w:numPr>
          <w:ilvl w:val="0"/>
          <w:numId w:val="0"/>
        </w:numPr>
        <w:autoSpaceDE w:val="0"/>
        <w:autoSpaceDN w:val="0"/>
        <w:adjustRightInd w:val="0"/>
        <w:ind w:leftChars="0"/>
        <w:jc w:val="left"/>
        <w:rPr>
          <w:rFonts w:hint="eastAsia" w:cs="仿宋_GB2312" w:asciiTheme="minorEastAsia" w:hAnsiTheme="minorEastAsia"/>
          <w:color w:val="auto"/>
          <w:kern w:val="0"/>
          <w:sz w:val="32"/>
          <w:szCs w:val="32"/>
          <w:lang w:eastAsia="zh-CN"/>
        </w:rPr>
      </w:pP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  <w:lang w:eastAsia="zh-CN"/>
        </w:rPr>
        <w:t>四、主要指标分析</w:t>
      </w:r>
    </w:p>
    <w:p>
      <w:pPr>
        <w:numPr>
          <w:ilvl w:val="0"/>
          <w:numId w:val="0"/>
        </w:numPr>
        <w:autoSpaceDE w:val="0"/>
        <w:autoSpaceDN w:val="0"/>
        <w:adjustRightInd w:val="0"/>
        <w:ind w:leftChars="0" w:firstLine="640" w:firstLineChars="200"/>
        <w:jc w:val="left"/>
        <w:rPr>
          <w:rFonts w:hint="eastAsia" w:cs="仿宋_GB2312" w:asciiTheme="minorEastAsia" w:hAnsiTheme="minorEastAsia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  <w:lang w:val="en-US" w:eastAsia="zh-CN"/>
        </w:rPr>
        <w:t>本期营业利润率相对较为稳定。净资产收益率较一季度相比，上涨近2倍，系本期资产总额下降导致；本期资产总额以及所有者权益下降因素，主要是向股东进行利润分配。</w:t>
      </w:r>
    </w:p>
    <w:p>
      <w:pPr>
        <w:numPr>
          <w:ilvl w:val="0"/>
          <w:numId w:val="0"/>
        </w:numPr>
        <w:autoSpaceDE w:val="0"/>
        <w:autoSpaceDN w:val="0"/>
        <w:adjustRightInd w:val="0"/>
        <w:ind w:leftChars="0" w:firstLine="640" w:firstLineChars="200"/>
        <w:jc w:val="left"/>
        <w:rPr>
          <w:rFonts w:hint="default" w:cs="仿宋_GB2312" w:asciiTheme="minorEastAsia" w:hAnsiTheme="minorEastAsia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  <w:lang w:val="en-US" w:eastAsia="zh-CN"/>
        </w:rPr>
        <w:t>本期营业收入超额完成年度中期预算指标。本期</w:t>
      </w:r>
      <w:bookmarkStart w:id="0" w:name="_GoBack"/>
      <w:bookmarkEnd w:id="0"/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  <w:lang w:val="en-US" w:eastAsia="zh-CN"/>
        </w:rPr>
        <w:t>利润增速放缓，主要原因包括第二季度人民币币值贬值约0.18%，导致汇兑损益波动。</w:t>
      </w:r>
    </w:p>
    <w:p>
      <w:pPr>
        <w:rPr>
          <w:rFonts w:cs="仿宋_GB2312" w:asciiTheme="minorEastAsia" w:hAnsiTheme="minorEastAsia"/>
          <w:color w:val="auto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  <w:lang w:eastAsia="zh-CN"/>
        </w:rPr>
        <w:t>五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</w:rPr>
        <w:t>、重大事项</w:t>
      </w:r>
    </w:p>
    <w:p>
      <w:pPr>
        <w:rPr>
          <w:rFonts w:hint="eastAsia" w:cs="仿宋_GB2312" w:asciiTheme="minorEastAsia" w:hAnsiTheme="minorEastAsia"/>
          <w:color w:val="auto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</w:rPr>
        <w:t xml:space="preserve">   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  <w:lang w:eastAsia="zh-CN"/>
        </w:rPr>
        <w:t>本期于</w:t>
      </w:r>
      <w:r>
        <w:rPr>
          <w:rFonts w:hint="eastAsia" w:cs="仿宋_GB2312" w:asciiTheme="minorEastAsia" w:hAnsiTheme="minorEastAsia"/>
          <w:color w:val="auto"/>
          <w:kern w:val="0"/>
          <w:sz w:val="32"/>
          <w:szCs w:val="32"/>
          <w:lang w:val="en-US" w:eastAsia="zh-CN"/>
        </w:rPr>
        <w:t>5月27日向股东分配6.50亿利润。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NewRomanPSMT">
    <w:altName w:val="hakuyoxingshu7000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824A80"/>
    <w:multiLevelType w:val="singleLevel"/>
    <w:tmpl w:val="84824A8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0ZDAwNDE0ZmU3ZmEyZmNlZDc0MWMwNWViNDFmOWEifQ=="/>
  </w:docVars>
  <w:rsids>
    <w:rsidRoot w:val="0EEB64CA"/>
    <w:rsid w:val="0EEB64CA"/>
    <w:rsid w:val="392A6A02"/>
    <w:rsid w:val="426D3DB6"/>
    <w:rsid w:val="5F495231"/>
    <w:rsid w:val="7121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690</Words>
  <Characters>838</Characters>
  <Lines>0</Lines>
  <Paragraphs>0</Paragraphs>
  <TotalTime>0</TotalTime>
  <ScaleCrop>false</ScaleCrop>
  <LinksUpToDate>false</LinksUpToDate>
  <CharactersWithSpaces>844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2022-07-06T06:35:00Z</dcterms:created>
  <dc:creator>Administrator</dc:creator>
  <cp:lastModifiedBy>Administrator</cp:lastModifiedBy>
  <dcterms:modified xsi:type="dcterms:W3CDTF">2022-07-06T09:02:54Z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4B2DCBA88EB043AD9DE65CFAE5E7C302</vt:lpwstr>
  </property>
</Properties>
</file>